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A86E" w14:textId="2B0C9836" w:rsidR="0071781F" w:rsidRDefault="00000000">
      <w:pPr>
        <w:spacing w:after="204"/>
        <w:ind w:left="0" w:right="18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DE408C" wp14:editId="2F5F445B">
                <wp:extent cx="4676128" cy="781050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128" cy="781050"/>
                          <a:chOff x="0" y="0"/>
                          <a:chExt cx="4676128" cy="781050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75"/>
                            <a:ext cx="1478280" cy="5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38"/>
                            <a:ext cx="2127504" cy="779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1056627" cy="7788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" style="width:368.199pt;height:61.5pt;mso-position-horizontal-relative:char;mso-position-vertical-relative:line" coordsize="46761,7810">
                <v:shape id="Picture 118" style="position:absolute;width:14782;height:5714;left:0;top:2095;" filled="f">
                  <v:imagedata r:id="rId8"/>
                </v:shape>
                <v:shape id="Picture 120" style="position:absolute;width:21275;height:7791;left:14859;top:0;" filled="f">
                  <v:imagedata r:id="rId9"/>
                </v:shape>
                <v:shape id="Picture 122" style="position:absolute;width:10566;height:7788;left:36195;top:0;" filled="f">
                  <v:imagedata r:id="rId10"/>
                </v:shape>
              </v:group>
            </w:pict>
          </mc:Fallback>
        </mc:AlternateContent>
      </w:r>
    </w:p>
    <w:p w14:paraId="21ED42D4" w14:textId="263274F0" w:rsidR="0071781F" w:rsidRDefault="00000000">
      <w:pPr>
        <w:spacing w:after="55" w:line="414" w:lineRule="auto"/>
        <w:ind w:left="0" w:firstLine="0"/>
      </w:pPr>
      <w:r>
        <w:rPr>
          <w:b/>
          <w:color w:val="C00000"/>
          <w:sz w:val="28"/>
        </w:rPr>
        <w:t>Regulamin zgłoszeń wizyt na udzielanie nieodpłatnej pomocy prawnej lub świadczenia nieodpłatnego poradnictwa obywatelskiego.</w:t>
      </w:r>
    </w:p>
    <w:p w14:paraId="262981B4" w14:textId="555CA856" w:rsidR="0071781F" w:rsidRDefault="00000000">
      <w:pPr>
        <w:numPr>
          <w:ilvl w:val="0"/>
          <w:numId w:val="1"/>
        </w:numPr>
        <w:spacing w:after="83" w:line="429" w:lineRule="auto"/>
        <w:ind w:hanging="283"/>
      </w:pPr>
      <w:r>
        <w:t>Zadanie polegające na udzielaniu nieodpłatnego pomocy prawnej lub świadczeniu nieodpłatnego poradnictwa obywatelskiego odbywa się w punkcie według wykazu planowanych dyżurów na terenie powiatu pszczyńskiego w 2024 roku.</w:t>
      </w:r>
    </w:p>
    <w:p w14:paraId="2161A332" w14:textId="0E3F05C6" w:rsidR="0071781F" w:rsidRDefault="00000000">
      <w:pPr>
        <w:numPr>
          <w:ilvl w:val="0"/>
          <w:numId w:val="1"/>
        </w:numPr>
        <w:spacing w:after="178" w:line="429" w:lineRule="auto"/>
        <w:ind w:hanging="283"/>
      </w:pPr>
      <w:r>
        <w:t>Udzielanie nieodpłatnej pomocy prawnej lub świadczenie nieodpłatnego poradnictwa obywatelskiego odbywa się w punkcie w przeciętnym wymiarze 5 dni w tygodniu podczas dyżuru trwającego co najmniej 4 godziny dziennie, z wyłączeniem dni wolnych od pracy.</w:t>
      </w:r>
    </w:p>
    <w:p w14:paraId="39BE6F9C" w14:textId="6C73475D" w:rsidR="0071781F" w:rsidRDefault="00000000">
      <w:pPr>
        <w:spacing w:after="115"/>
        <w:ind w:left="281"/>
      </w:pPr>
      <w:r>
        <w:t>Zgodnie z ustawą o dniach wolnych od pracy są to:</w:t>
      </w:r>
    </w:p>
    <w:p w14:paraId="59CC8139" w14:textId="7A480D77" w:rsidR="0071781F" w:rsidRDefault="00000000">
      <w:pPr>
        <w:numPr>
          <w:ilvl w:val="2"/>
          <w:numId w:val="3"/>
        </w:numPr>
        <w:ind w:left="1402" w:hanging="800"/>
      </w:pPr>
      <w:r>
        <w:t>1 stycznia-Nowy Rok,</w:t>
      </w:r>
    </w:p>
    <w:p w14:paraId="15864179" w14:textId="6E9E9B24" w:rsidR="0071781F" w:rsidRDefault="00000000">
      <w:pPr>
        <w:numPr>
          <w:ilvl w:val="2"/>
          <w:numId w:val="3"/>
        </w:numPr>
        <w:ind w:left="1402" w:hanging="800"/>
      </w:pPr>
      <w:r>
        <w:t>6 stycznia-Święto Trzech Króli,</w:t>
      </w:r>
    </w:p>
    <w:p w14:paraId="5A8A89A9" w14:textId="0663438F" w:rsidR="0071781F" w:rsidRDefault="00000000">
      <w:pPr>
        <w:numPr>
          <w:ilvl w:val="2"/>
          <w:numId w:val="3"/>
        </w:numPr>
        <w:ind w:left="1402" w:hanging="800"/>
      </w:pPr>
      <w:r>
        <w:t>pierwszy dzień Wielkiej Nocy,</w:t>
      </w:r>
    </w:p>
    <w:p w14:paraId="0FCFF5E9" w14:textId="215E628E" w:rsidR="0071781F" w:rsidRDefault="00000000">
      <w:pPr>
        <w:numPr>
          <w:ilvl w:val="2"/>
          <w:numId w:val="3"/>
        </w:numPr>
        <w:ind w:left="1402" w:hanging="800"/>
      </w:pPr>
      <w:r>
        <w:t>drugi dzień Wielkiej Nocy,</w:t>
      </w:r>
    </w:p>
    <w:p w14:paraId="38199322" w14:textId="65DB54DF" w:rsidR="0071781F" w:rsidRDefault="00000000">
      <w:pPr>
        <w:numPr>
          <w:ilvl w:val="2"/>
          <w:numId w:val="3"/>
        </w:numPr>
        <w:ind w:left="1402" w:hanging="800"/>
      </w:pPr>
      <w:r>
        <w:t>1 maja-Święto Państwowe,</w:t>
      </w:r>
    </w:p>
    <w:p w14:paraId="482E4EA0" w14:textId="06AC651F" w:rsidR="0071781F" w:rsidRDefault="00000000">
      <w:pPr>
        <w:numPr>
          <w:ilvl w:val="2"/>
          <w:numId w:val="3"/>
        </w:numPr>
        <w:ind w:left="1402" w:hanging="800"/>
      </w:pPr>
      <w:r>
        <w:t>3 maja-Święto Narodowe Trzeciego Maja,</w:t>
      </w:r>
    </w:p>
    <w:p w14:paraId="338B30B5" w14:textId="4235E76F" w:rsidR="0071781F" w:rsidRDefault="00000000">
      <w:pPr>
        <w:numPr>
          <w:ilvl w:val="2"/>
          <w:numId w:val="3"/>
        </w:numPr>
        <w:ind w:left="1402" w:hanging="800"/>
      </w:pPr>
      <w:r>
        <w:t>pierwszy dzień Zielonych Świątek,</w:t>
      </w:r>
    </w:p>
    <w:p w14:paraId="7DD86EC2" w14:textId="5006BE95" w:rsidR="0071781F" w:rsidRDefault="00000000">
      <w:pPr>
        <w:numPr>
          <w:ilvl w:val="2"/>
          <w:numId w:val="3"/>
        </w:numPr>
        <w:ind w:left="1402" w:hanging="800"/>
      </w:pPr>
      <w:r>
        <w:t>dzień Bożego Ciała,</w:t>
      </w:r>
    </w:p>
    <w:p w14:paraId="731E14F7" w14:textId="47C90C37" w:rsidR="0071781F" w:rsidRDefault="00000000">
      <w:pPr>
        <w:numPr>
          <w:ilvl w:val="2"/>
          <w:numId w:val="3"/>
        </w:numPr>
        <w:ind w:left="1402" w:hanging="800"/>
      </w:pPr>
      <w:r>
        <w:t>15 sierpnia-Wniebowzięcie Najświętszej Maryi Panny,</w:t>
      </w:r>
    </w:p>
    <w:p w14:paraId="641737BF" w14:textId="272131D5" w:rsidR="0071781F" w:rsidRDefault="00000000">
      <w:pPr>
        <w:numPr>
          <w:ilvl w:val="2"/>
          <w:numId w:val="3"/>
        </w:numPr>
        <w:ind w:left="1402" w:hanging="800"/>
      </w:pPr>
      <w:r>
        <w:t>1 listopada-Wszystkich Świętych,</w:t>
      </w:r>
    </w:p>
    <w:p w14:paraId="69C28981" w14:textId="0F57B530" w:rsidR="0071781F" w:rsidRDefault="00000000">
      <w:pPr>
        <w:numPr>
          <w:ilvl w:val="2"/>
          <w:numId w:val="3"/>
        </w:numPr>
        <w:ind w:left="1402" w:hanging="800"/>
      </w:pPr>
      <w:r>
        <w:t>11 listopada-Narodowe Święto Niepodległości,</w:t>
      </w:r>
    </w:p>
    <w:p w14:paraId="67220203" w14:textId="02964A47" w:rsidR="0071781F" w:rsidRDefault="00000000">
      <w:pPr>
        <w:numPr>
          <w:ilvl w:val="2"/>
          <w:numId w:val="3"/>
        </w:numPr>
        <w:ind w:left="1402" w:hanging="800"/>
      </w:pPr>
      <w:r>
        <w:t>25 grudnia-pierwszy dzień Bożego Narodzenia,</w:t>
      </w:r>
    </w:p>
    <w:p w14:paraId="1EB4195D" w14:textId="44881712" w:rsidR="0071781F" w:rsidRDefault="00000000">
      <w:pPr>
        <w:numPr>
          <w:ilvl w:val="2"/>
          <w:numId w:val="3"/>
        </w:numPr>
        <w:spacing w:after="156" w:line="366" w:lineRule="auto"/>
        <w:ind w:left="1402" w:hanging="800"/>
      </w:pPr>
      <w:r>
        <w:t>26 grudnia-drugi dzień Bożego Narodzenia;</w:t>
      </w:r>
      <w:r w:rsidR="00AB40A9">
        <w:t xml:space="preserve"> </w:t>
      </w:r>
      <w:r>
        <w:t>oraz niedziele.</w:t>
      </w:r>
    </w:p>
    <w:p w14:paraId="7E3DCA51" w14:textId="172CDF72" w:rsidR="0071781F" w:rsidRDefault="00000000">
      <w:pPr>
        <w:numPr>
          <w:ilvl w:val="0"/>
          <w:numId w:val="1"/>
        </w:numPr>
        <w:spacing w:line="385" w:lineRule="auto"/>
        <w:ind w:hanging="283"/>
      </w:pPr>
      <w:r>
        <w:t>Czas trwania dyżuru może ulec wydłużeniu do co najmniej 5 godzin dziennie we wszystkich punktach na obszarze powiatu w przypadku, gdy liczba osób uprawnionych, którym ma zostać udzielona nieodpłatna pomoc prawna lub świadczone nieodpłatne poradnictwo obywatelskie, uniemożliwia sprawne umawianie terminów wizyt w punktach na obszarze danego powiatu.</w:t>
      </w:r>
    </w:p>
    <w:p w14:paraId="238774D9" w14:textId="5EF325BC" w:rsidR="0071781F" w:rsidRPr="00AF6677" w:rsidRDefault="00000000" w:rsidP="00AF6677">
      <w:pPr>
        <w:numPr>
          <w:ilvl w:val="0"/>
          <w:numId w:val="1"/>
        </w:numPr>
        <w:spacing w:after="166" w:line="394" w:lineRule="auto"/>
        <w:ind w:hanging="283"/>
        <w:rPr>
          <w:b/>
          <w:color w:val="C00000"/>
        </w:rPr>
      </w:pPr>
      <w:r>
        <w:lastRenderedPageBreak/>
        <w:t xml:space="preserve">Udzielanie </w:t>
      </w:r>
      <w:bookmarkStart w:id="0" w:name="_Hlk171592555"/>
      <w:r w:rsidR="00AF6677" w:rsidRPr="00AF6677">
        <w:t xml:space="preserve">nieodpłatnej pomocy prawnej lub świadczenie nieodpłatnego poradnictwa obywatelskiego odbywa się </w:t>
      </w:r>
      <w:r w:rsidR="00AF6677" w:rsidRPr="00AF6677">
        <w:rPr>
          <w:color w:val="C00000"/>
        </w:rPr>
        <w:t xml:space="preserve">według kolejności zgłoszeń: </w:t>
      </w:r>
      <w:r w:rsidR="00AF6677" w:rsidRPr="00AF6677">
        <w:rPr>
          <w:b/>
          <w:color w:val="C00000"/>
        </w:rPr>
        <w:t>telefonicznie pod nr 32 44 92 378, elektronicznie pod adresem e-mail: pomocprawna@powiat.pszczyna.pl, lub osobiście w Szpitalu Powiatowym w Pszczynie, ul. Antesa 11, 43-200 Pszczyna, pokój nr 1 (obok kaplicy szpitalnej)</w:t>
      </w:r>
      <w:r w:rsidR="00AF6677" w:rsidRPr="00AF6677">
        <w:rPr>
          <w:color w:val="C00000"/>
        </w:rPr>
        <w:t xml:space="preserve"> w godzinach pracy Starostwa Powiatowego w</w:t>
      </w:r>
      <w:r w:rsidR="00AB40A9">
        <w:rPr>
          <w:color w:val="C00000"/>
        </w:rPr>
        <w:t> </w:t>
      </w:r>
      <w:r w:rsidR="00AF6677" w:rsidRPr="00AF6677">
        <w:rPr>
          <w:color w:val="C00000"/>
        </w:rPr>
        <w:t>Pszczynie (pon. 7:30-17:00, wt.-czw. 7:30-15:30, pt. 7:30-14:00).</w:t>
      </w:r>
      <w:bookmarkEnd w:id="0"/>
    </w:p>
    <w:p w14:paraId="1E9A6035" w14:textId="2F5F140A" w:rsidR="0071781F" w:rsidRDefault="00000000">
      <w:pPr>
        <w:numPr>
          <w:ilvl w:val="0"/>
          <w:numId w:val="1"/>
        </w:numPr>
        <w:spacing w:after="55" w:line="418" w:lineRule="auto"/>
        <w:ind w:hanging="283"/>
      </w:pPr>
      <w:r>
        <w:t>Z ważnych uzasadnionych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23698DA6" w14:textId="0B198F66" w:rsidR="0071781F" w:rsidRDefault="00000000">
      <w:pPr>
        <w:numPr>
          <w:ilvl w:val="0"/>
          <w:numId w:val="1"/>
        </w:numPr>
        <w:spacing w:after="43" w:line="466" w:lineRule="auto"/>
        <w:ind w:hanging="283"/>
      </w:pPr>
      <w:r>
        <w:t xml:space="preserve">Nieodpłatna pomoc prawna lub nieodpłatne poradnictwo obywatelskie obejmuje również </w:t>
      </w:r>
      <w:r>
        <w:rPr>
          <w:b/>
        </w:rPr>
        <w:t>nieodpłatną mediację</w:t>
      </w:r>
      <w:r>
        <w:t xml:space="preserve"> według zasad organizacji spotkania mediacyjnego.</w:t>
      </w:r>
    </w:p>
    <w:p w14:paraId="236BDC38" w14:textId="7B1B70EA" w:rsidR="0071781F" w:rsidRDefault="00000000">
      <w:pPr>
        <w:numPr>
          <w:ilvl w:val="0"/>
          <w:numId w:val="1"/>
        </w:numPr>
        <w:spacing w:after="66" w:line="411" w:lineRule="auto"/>
        <w:ind w:hanging="283"/>
      </w:pPr>
      <w:r>
        <w:t>Osobom ze znaczną niepełnoprawnością ruchową, które nie mogą stawić się w punkcie osobiście, oraz osobom doświadczającym trudności w komunikowaniu się, o których mowa w ustawie z dnia 19 sierpnia 2011 r. o języku migowym i innych środkach komunikowania się, może być udzielana nieodpłatna pomoc prawna lub świadczone nieodpłatne poradnictwo obywatelskie, z wyłączeniem nieodpłatnej mediacji, także poza punktem albo za pośrednictwem środków porozumiewania się na odległość.</w:t>
      </w:r>
    </w:p>
    <w:p w14:paraId="7BEC0BAF" w14:textId="00A874DD" w:rsidR="0071781F" w:rsidRDefault="00000000">
      <w:pPr>
        <w:ind w:left="281"/>
      </w:pPr>
      <w:r>
        <w:t>Ustawa o języku migowym i innych środkach komunikowania się dotyczy:</w:t>
      </w:r>
    </w:p>
    <w:p w14:paraId="29893362" w14:textId="0E5CC201" w:rsidR="0071781F" w:rsidRDefault="00000000">
      <w:pPr>
        <w:numPr>
          <w:ilvl w:val="2"/>
          <w:numId w:val="2"/>
        </w:numPr>
        <w:spacing w:after="123"/>
        <w:ind w:firstLine="77"/>
      </w:pPr>
      <w:r>
        <w:t>osób doświadczających trwale lub okresowo trudności w komunikowaniu się,</w:t>
      </w:r>
    </w:p>
    <w:p w14:paraId="0F85055B" w14:textId="35846F39" w:rsidR="0071781F" w:rsidRDefault="00000000" w:rsidP="00AB40A9">
      <w:pPr>
        <w:ind w:left="567" w:firstLine="0"/>
      </w:pPr>
      <w:r>
        <w:t>zwanych dalej "osobami uprawnionymi"</w:t>
      </w:r>
      <w:r w:rsidR="00AB40A9">
        <w:t>;</w:t>
      </w:r>
    </w:p>
    <w:p w14:paraId="7D2B23DC" w14:textId="71B65A1B" w:rsidR="0071781F" w:rsidRDefault="00000000">
      <w:pPr>
        <w:numPr>
          <w:ilvl w:val="2"/>
          <w:numId w:val="2"/>
        </w:numPr>
        <w:spacing w:after="57" w:line="418" w:lineRule="auto"/>
        <w:ind w:firstLine="77"/>
      </w:pPr>
      <w:r>
        <w:t>członków rodzin osób uprawnionych, w tym współmałżonka, dzieci własnych i</w:t>
      </w:r>
      <w:r w:rsidR="00AB40A9">
        <w:t> </w:t>
      </w:r>
      <w:r>
        <w:t>przysposobionych, dzieci obcych przyjętych na wychowanie, pasierbów, rodziców, rodziców współmałżonka, rodzeństwa, ojczyma, macochy, zięciów i synowych, zwanych dalej "członkami rodzin"</w:t>
      </w:r>
      <w:r w:rsidR="00AB40A9">
        <w:t>;</w:t>
      </w:r>
    </w:p>
    <w:p w14:paraId="7B0BAAC6" w14:textId="26226AC7" w:rsidR="0071781F" w:rsidRDefault="00000000">
      <w:pPr>
        <w:numPr>
          <w:ilvl w:val="2"/>
          <w:numId w:val="2"/>
        </w:numPr>
        <w:ind w:firstLine="77"/>
      </w:pPr>
      <w:r>
        <w:t>osób mających stały lub bezpośredni kontakt z osobami uprawnionymi.</w:t>
      </w:r>
    </w:p>
    <w:p w14:paraId="05F00B87" w14:textId="318ECCB1" w:rsidR="00AF6677" w:rsidRPr="00AF6677" w:rsidRDefault="00000000" w:rsidP="00AF6677">
      <w:pPr>
        <w:numPr>
          <w:ilvl w:val="0"/>
          <w:numId w:val="1"/>
        </w:numPr>
        <w:spacing w:after="0" w:line="464" w:lineRule="auto"/>
        <w:ind w:hanging="283"/>
      </w:pPr>
      <w:r>
        <w:t xml:space="preserve">Osoby </w:t>
      </w:r>
      <w:bookmarkStart w:id="1" w:name="_Hlk171592461"/>
      <w:r w:rsidR="00AF6677" w:rsidRPr="00AF6677">
        <w:t>wymienione w pkt 7 zobowiązane są również do złożenia pisemnego oświadczenia, że nie są w stanie ponieść kosztów odpłatnej pomocy prawnej, uzasadnienia stwierdzającego znaczną niepełnosprawność ruchową lub trudności w</w:t>
      </w:r>
      <w:r w:rsidR="00AB40A9">
        <w:t> </w:t>
      </w:r>
      <w:r w:rsidR="00AF6677" w:rsidRPr="00AF6677">
        <w:t xml:space="preserve">komunikowaniu się oraz informację o dostępnych środkach porozumienia się na </w:t>
      </w:r>
      <w:r w:rsidR="00AF6677" w:rsidRPr="00AF6677">
        <w:lastRenderedPageBreak/>
        <w:t>odległość, tj. telefon, zoom lub poczta elektroniczna, wraz z danymi do kontaktu za pomocą wybranego środka porozumiewania się na odległość.</w:t>
      </w:r>
    </w:p>
    <w:p w14:paraId="64F6EFD7" w14:textId="4E4F7DB6" w:rsidR="00AF6677" w:rsidRPr="00AF6677" w:rsidRDefault="00AF6677" w:rsidP="00AF6677">
      <w:pPr>
        <w:spacing w:after="0" w:line="464" w:lineRule="auto"/>
        <w:ind w:left="283" w:firstLine="0"/>
      </w:pPr>
      <w:r w:rsidRPr="00AF6677">
        <w:t>Oświadczenie, uzasadnienie oraz informację składa się przed uzyskaniem nieodpłatnej pomocy prawnej lub poradnictwa obywatelskiego - oryginał lub kopia wskazanych dokumentów powinny trafić przed udzieleniem porady drogą elektroniczną lub telefoniczną za pośrednictwem:</w:t>
      </w:r>
    </w:p>
    <w:p w14:paraId="705BF4FA" w14:textId="77777777" w:rsidR="00AF6677" w:rsidRPr="00AF6677" w:rsidRDefault="00AF6677" w:rsidP="00AF6677">
      <w:pPr>
        <w:spacing w:after="0" w:line="464" w:lineRule="auto"/>
        <w:ind w:left="283" w:firstLine="0"/>
      </w:pPr>
      <w:r w:rsidRPr="00AF6677">
        <w:t>1) faksu (32) 449 23 45, lub</w:t>
      </w:r>
    </w:p>
    <w:p w14:paraId="12D20DEA" w14:textId="77777777" w:rsidR="00AF6677" w:rsidRPr="00AF6677" w:rsidRDefault="00AF6677" w:rsidP="00AF6677">
      <w:pPr>
        <w:spacing w:after="0" w:line="464" w:lineRule="auto"/>
        <w:ind w:left="283" w:firstLine="0"/>
      </w:pPr>
      <w:r w:rsidRPr="00AF6677">
        <w:t>2) w wersji elektronicznej na adres e-mail: powiat@powiat.pszczyna.pl lub</w:t>
      </w:r>
    </w:p>
    <w:p w14:paraId="1F6C7D7C" w14:textId="77777777" w:rsidR="00AF6677" w:rsidRPr="00AF6677" w:rsidRDefault="00AF6677" w:rsidP="00AF6677">
      <w:pPr>
        <w:spacing w:after="0" w:line="464" w:lineRule="auto"/>
        <w:ind w:left="283" w:firstLine="0"/>
      </w:pPr>
      <w:r w:rsidRPr="00AF6677">
        <w:t>3) listownie na adres Starostwo Powiatowe ul. 3 maja 10, 43-200 Pszczyna z opisem „Nieodpłatna Pomoc Prawna” lub</w:t>
      </w:r>
    </w:p>
    <w:p w14:paraId="1634B3B1" w14:textId="5A96A008" w:rsidR="0071781F" w:rsidRDefault="00AF6677" w:rsidP="00AB40A9">
      <w:pPr>
        <w:spacing w:after="0" w:line="464" w:lineRule="auto"/>
        <w:ind w:left="283" w:firstLine="0"/>
      </w:pPr>
      <w:r w:rsidRPr="00AF6677">
        <w:t>4) za pośrednictwem członków rodziny albo innych osób upoważnionych przez osobę uprawnioną-do Starostwa Powiatowego w Pszczynie, Punkt Obsługi Klienta na parterze Urzędu.</w:t>
      </w:r>
      <w:bookmarkEnd w:id="1"/>
    </w:p>
    <w:sectPr w:rsidR="0071781F">
      <w:pgSz w:w="11906" w:h="16838"/>
      <w:pgMar w:top="567" w:right="1416" w:bottom="951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60471"/>
    <w:multiLevelType w:val="hybridMultilevel"/>
    <w:tmpl w:val="11787CC4"/>
    <w:lvl w:ilvl="0" w:tplc="0CDE03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88D42">
      <w:start w:val="1"/>
      <w:numFmt w:val="lowerLetter"/>
      <w:lvlText w:val="%2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6D0D4">
      <w:start w:val="1"/>
      <w:numFmt w:val="lowerLetter"/>
      <w:lvlRestart w:val="0"/>
      <w:lvlText w:val="%3)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6050E">
      <w:start w:val="1"/>
      <w:numFmt w:val="decimal"/>
      <w:lvlText w:val="%4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E5CEC">
      <w:start w:val="1"/>
      <w:numFmt w:val="lowerLetter"/>
      <w:lvlText w:val="%5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C1CCE">
      <w:start w:val="1"/>
      <w:numFmt w:val="lowerRoman"/>
      <w:lvlText w:val="%6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AED58">
      <w:start w:val="1"/>
      <w:numFmt w:val="decimal"/>
      <w:lvlText w:val="%7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8A118">
      <w:start w:val="1"/>
      <w:numFmt w:val="lowerLetter"/>
      <w:lvlText w:val="%8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ABDA">
      <w:start w:val="1"/>
      <w:numFmt w:val="lowerRoman"/>
      <w:lvlText w:val="%9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C1C01"/>
    <w:multiLevelType w:val="hybridMultilevel"/>
    <w:tmpl w:val="FA90F0D8"/>
    <w:lvl w:ilvl="0" w:tplc="22349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5374">
      <w:start w:val="1"/>
      <w:numFmt w:val="lowerLetter"/>
      <w:lvlText w:val="%2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64BA8">
      <w:start w:val="1"/>
      <w:numFmt w:val="lowerLetter"/>
      <w:lvlRestart w:val="0"/>
      <w:lvlText w:val="%3)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659A4">
      <w:start w:val="1"/>
      <w:numFmt w:val="decimal"/>
      <w:lvlText w:val="%4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6D80">
      <w:start w:val="1"/>
      <w:numFmt w:val="lowerLetter"/>
      <w:lvlText w:val="%5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E5A4E">
      <w:start w:val="1"/>
      <w:numFmt w:val="lowerRoman"/>
      <w:lvlText w:val="%6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87C4">
      <w:start w:val="1"/>
      <w:numFmt w:val="decimal"/>
      <w:lvlText w:val="%7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2AC0">
      <w:start w:val="1"/>
      <w:numFmt w:val="lowerLetter"/>
      <w:lvlText w:val="%8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06BF6">
      <w:start w:val="1"/>
      <w:numFmt w:val="lowerRoman"/>
      <w:lvlText w:val="%9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27DE0"/>
    <w:multiLevelType w:val="hybridMultilevel"/>
    <w:tmpl w:val="7F5A03A2"/>
    <w:lvl w:ilvl="0" w:tplc="CAEE8C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A9A2C">
      <w:start w:val="1"/>
      <w:numFmt w:val="decimal"/>
      <w:lvlText w:val="%2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5CE4">
      <w:start w:val="1"/>
      <w:numFmt w:val="lowerRoman"/>
      <w:lvlText w:val="%3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A924">
      <w:start w:val="1"/>
      <w:numFmt w:val="decimal"/>
      <w:lvlText w:val="%4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E746">
      <w:start w:val="1"/>
      <w:numFmt w:val="lowerLetter"/>
      <w:lvlText w:val="%5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6638A">
      <w:start w:val="1"/>
      <w:numFmt w:val="lowerRoman"/>
      <w:lvlText w:val="%6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40DD6">
      <w:start w:val="1"/>
      <w:numFmt w:val="decimal"/>
      <w:lvlText w:val="%7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C536A">
      <w:start w:val="1"/>
      <w:numFmt w:val="lowerLetter"/>
      <w:lvlText w:val="%8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0AB06">
      <w:start w:val="1"/>
      <w:numFmt w:val="lowerRoman"/>
      <w:lvlText w:val="%9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874566">
    <w:abstractNumId w:val="2"/>
  </w:num>
  <w:num w:numId="2" w16cid:durableId="1013654762">
    <w:abstractNumId w:val="1"/>
  </w:num>
  <w:num w:numId="3" w16cid:durableId="9145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1F"/>
    <w:rsid w:val="0041067B"/>
    <w:rsid w:val="0071781F"/>
    <w:rsid w:val="00964AA5"/>
    <w:rsid w:val="00AB40A9"/>
    <w:rsid w:val="00AF6677"/>
    <w:rsid w:val="00D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2619"/>
  <w15:docId w15:val="{5EB8765F-7ECE-4791-ABB7-BC3C324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0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zgłoszeń wizyt na udzielanie nieodpłatnej pomocy prawnej lub świadczenia nieodpłatnego poradnictwa obywatelskiego.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zgłoszeń wizyt na udzielanie nieodpłatnej pomocy prawnej lub świadczenia nieodpłatnego poradnictwa obywatelskiego.</dc:title>
  <dc:subject/>
  <dc:creator>Sosna.Renata</dc:creator>
  <cp:keywords/>
  <cp:lastModifiedBy>Renata Sosna</cp:lastModifiedBy>
  <cp:revision>4</cp:revision>
  <dcterms:created xsi:type="dcterms:W3CDTF">2024-07-11T10:10:00Z</dcterms:created>
  <dcterms:modified xsi:type="dcterms:W3CDTF">2024-07-11T10:37:00Z</dcterms:modified>
</cp:coreProperties>
</file>